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C3" w:rsidRPr="00FB312A" w:rsidRDefault="00441BC3" w:rsidP="00441BC3">
      <w:pPr>
        <w:jc w:val="center"/>
        <w:rPr>
          <w:rFonts w:ascii="Times New Roman" w:hAnsi="Times New Roman" w:cs="Times New Roman"/>
          <w:b/>
          <w:sz w:val="32"/>
          <w:szCs w:val="32"/>
        </w:rPr>
      </w:pPr>
      <w:r w:rsidRPr="00FB312A">
        <w:rPr>
          <w:rFonts w:ascii="Times New Roman" w:hAnsi="Times New Roman" w:cs="Times New Roman"/>
          <w:b/>
          <w:sz w:val="32"/>
          <w:szCs w:val="32"/>
        </w:rPr>
        <w:t>Паспорт инвестиционн</w:t>
      </w:r>
      <w:r w:rsidR="000D28D3">
        <w:rPr>
          <w:rFonts w:ascii="Times New Roman" w:hAnsi="Times New Roman" w:cs="Times New Roman"/>
          <w:b/>
          <w:sz w:val="32"/>
          <w:szCs w:val="32"/>
        </w:rPr>
        <w:t>ых</w:t>
      </w:r>
      <w:r w:rsidRPr="00FB312A">
        <w:rPr>
          <w:rFonts w:ascii="Times New Roman" w:hAnsi="Times New Roman" w:cs="Times New Roman"/>
          <w:b/>
          <w:sz w:val="32"/>
          <w:szCs w:val="32"/>
        </w:rPr>
        <w:t xml:space="preserve"> проект</w:t>
      </w:r>
      <w:r w:rsidR="000D28D3">
        <w:rPr>
          <w:rFonts w:ascii="Times New Roman" w:hAnsi="Times New Roman" w:cs="Times New Roman"/>
          <w:b/>
          <w:sz w:val="32"/>
          <w:szCs w:val="32"/>
        </w:rPr>
        <w:t xml:space="preserve">ов </w:t>
      </w:r>
    </w:p>
    <w:p w:rsidR="00441BC3" w:rsidRPr="00FB312A" w:rsidRDefault="00441BC3" w:rsidP="00441BC3">
      <w:pPr>
        <w:jc w:val="center"/>
        <w:rPr>
          <w:rFonts w:ascii="Times New Roman" w:hAnsi="Times New Roman" w:cs="Times New Roman"/>
          <w:b/>
          <w:sz w:val="32"/>
          <w:szCs w:val="32"/>
        </w:rPr>
      </w:pPr>
    </w:p>
    <w:p w:rsidR="00441BC3" w:rsidRPr="00C01B52" w:rsidRDefault="00441BC3" w:rsidP="00441BC3">
      <w:pPr>
        <w:jc w:val="center"/>
        <w:rPr>
          <w:b/>
          <w:sz w:val="32"/>
          <w:szCs w:val="32"/>
        </w:rPr>
      </w:pPr>
    </w:p>
    <w:p w:rsidR="00302D1C" w:rsidRDefault="00302D1C" w:rsidP="00FB312A">
      <w:pPr>
        <w:pStyle w:val="Default"/>
        <w:ind w:firstLine="567"/>
        <w:rPr>
          <w:rFonts w:ascii="Times New Roman" w:eastAsiaTheme="minorHAnsi" w:hAnsi="Times New Roman"/>
          <w:color w:val="auto"/>
          <w:lang w:eastAsia="en-US"/>
        </w:rPr>
      </w:pPr>
      <w:r w:rsidRPr="00302D1C">
        <w:rPr>
          <w:rFonts w:ascii="Times New Roman" w:eastAsiaTheme="minorHAnsi" w:hAnsi="Times New Roman"/>
          <w:color w:val="auto"/>
          <w:lang w:eastAsia="en-US"/>
        </w:rPr>
        <w:t xml:space="preserve">а)  </w:t>
      </w:r>
      <w:r>
        <w:rPr>
          <w:rFonts w:ascii="Times New Roman" w:eastAsiaTheme="minorHAnsi" w:hAnsi="Times New Roman"/>
          <w:color w:val="auto"/>
          <w:lang w:eastAsia="en-US"/>
        </w:rPr>
        <w:t xml:space="preserve"> наименование </w:t>
      </w:r>
      <w:r w:rsidRPr="00302D1C">
        <w:rPr>
          <w:rFonts w:ascii="Times New Roman" w:eastAsiaTheme="minorHAnsi" w:hAnsi="Times New Roman"/>
          <w:color w:val="auto"/>
          <w:lang w:eastAsia="en-US"/>
        </w:rPr>
        <w:t>инвестиционн</w:t>
      </w:r>
      <w:r>
        <w:rPr>
          <w:rFonts w:ascii="Times New Roman" w:eastAsiaTheme="minorHAnsi" w:hAnsi="Times New Roman"/>
          <w:color w:val="auto"/>
          <w:lang w:eastAsia="en-US"/>
        </w:rPr>
        <w:t>ого</w:t>
      </w:r>
      <w:r w:rsidRPr="00302D1C">
        <w:rPr>
          <w:rFonts w:ascii="Times New Roman" w:eastAsiaTheme="minorHAnsi" w:hAnsi="Times New Roman"/>
          <w:color w:val="auto"/>
          <w:lang w:eastAsia="en-US"/>
        </w:rPr>
        <w:t xml:space="preserve"> проект</w:t>
      </w:r>
      <w:r>
        <w:rPr>
          <w:rFonts w:ascii="Times New Roman" w:eastAsiaTheme="minorHAnsi" w:hAnsi="Times New Roman"/>
          <w:color w:val="auto"/>
          <w:lang w:eastAsia="en-US"/>
        </w:rPr>
        <w:t>а:</w:t>
      </w:r>
    </w:p>
    <w:p w:rsidR="00080A3F" w:rsidRDefault="00034124" w:rsidP="00080A3F">
      <w:pPr>
        <w:widowControl/>
        <w:ind w:firstLine="567"/>
        <w:rPr>
          <w:rFonts w:ascii="Times New Roman" w:eastAsiaTheme="minorHAnsi" w:hAnsi="Times New Roman" w:cs="Times New Roman"/>
          <w:sz w:val="24"/>
          <w:szCs w:val="24"/>
          <w:lang w:eastAsia="en-US"/>
        </w:rPr>
      </w:pPr>
      <w:r>
        <w:t>-</w:t>
      </w:r>
      <w:r w:rsidR="00080A3F">
        <w:rPr>
          <w:rFonts w:ascii="Times New Roman" w:eastAsiaTheme="minorHAnsi" w:hAnsi="Times New Roman" w:cs="Times New Roman"/>
          <w:sz w:val="24"/>
          <w:szCs w:val="24"/>
          <w:lang w:eastAsia="en-US"/>
        </w:rPr>
        <w:t xml:space="preserve">Строительство ГПА-ТЭЦ в МО </w:t>
      </w:r>
      <w:proofErr w:type="spellStart"/>
      <w:r w:rsidR="00080A3F">
        <w:rPr>
          <w:rFonts w:ascii="Times New Roman" w:eastAsiaTheme="minorHAnsi" w:hAnsi="Times New Roman" w:cs="Times New Roman"/>
          <w:sz w:val="24"/>
          <w:szCs w:val="24"/>
          <w:lang w:eastAsia="en-US"/>
        </w:rPr>
        <w:t>Красноселькупский</w:t>
      </w:r>
      <w:proofErr w:type="spellEnd"/>
      <w:r w:rsidR="00080A3F">
        <w:rPr>
          <w:rFonts w:ascii="Times New Roman" w:eastAsiaTheme="minorHAnsi" w:hAnsi="Times New Roman" w:cs="Times New Roman"/>
          <w:sz w:val="24"/>
          <w:szCs w:val="24"/>
          <w:lang w:eastAsia="en-US"/>
        </w:rPr>
        <w:t xml:space="preserve"> райо</w:t>
      </w:r>
      <w:r w:rsidR="009B2681">
        <w:rPr>
          <w:rFonts w:ascii="Times New Roman" w:eastAsiaTheme="minorHAnsi" w:hAnsi="Times New Roman" w:cs="Times New Roman"/>
          <w:sz w:val="24"/>
          <w:szCs w:val="24"/>
          <w:lang w:eastAsia="en-US"/>
        </w:rPr>
        <w:t xml:space="preserve">н с. </w:t>
      </w:r>
      <w:proofErr w:type="spellStart"/>
      <w:r w:rsidR="009B2681">
        <w:rPr>
          <w:rFonts w:ascii="Times New Roman" w:eastAsiaTheme="minorHAnsi" w:hAnsi="Times New Roman" w:cs="Times New Roman"/>
          <w:sz w:val="24"/>
          <w:szCs w:val="24"/>
          <w:lang w:eastAsia="en-US"/>
        </w:rPr>
        <w:t>Красноселькуп</w:t>
      </w:r>
      <w:proofErr w:type="spellEnd"/>
      <w:r w:rsidR="009B2681">
        <w:rPr>
          <w:rFonts w:ascii="Times New Roman" w:eastAsiaTheme="minorHAnsi" w:hAnsi="Times New Roman" w:cs="Times New Roman"/>
          <w:sz w:val="24"/>
          <w:szCs w:val="24"/>
          <w:lang w:eastAsia="en-US"/>
        </w:rPr>
        <w:t xml:space="preserve"> мощностью 10,5 </w:t>
      </w:r>
      <w:bookmarkStart w:id="0" w:name="_GoBack"/>
      <w:bookmarkEnd w:id="0"/>
      <w:r w:rsidR="00080A3F">
        <w:rPr>
          <w:rFonts w:ascii="Times New Roman" w:eastAsiaTheme="minorHAnsi" w:hAnsi="Times New Roman" w:cs="Times New Roman"/>
          <w:sz w:val="24"/>
          <w:szCs w:val="24"/>
          <w:lang w:eastAsia="en-US"/>
        </w:rPr>
        <w:t>МВт;</w:t>
      </w:r>
    </w:p>
    <w:p w:rsidR="00080A3F" w:rsidRDefault="00034124" w:rsidP="00080A3F">
      <w:pPr>
        <w:widowControl/>
        <w:ind w:firstLine="567"/>
        <w:rPr>
          <w:rFonts w:ascii="Times New Roman" w:eastAsiaTheme="minorHAnsi" w:hAnsi="Times New Roman" w:cs="Times New Roman"/>
          <w:sz w:val="24"/>
          <w:szCs w:val="24"/>
          <w:lang w:eastAsia="en-US"/>
        </w:rPr>
      </w:pPr>
      <w:r w:rsidRPr="00034124">
        <w:t>-</w:t>
      </w:r>
      <w:r w:rsidR="00080A3F">
        <w:rPr>
          <w:rFonts w:ascii="Times New Roman" w:eastAsiaTheme="minorHAnsi" w:hAnsi="Times New Roman" w:cs="Times New Roman"/>
          <w:sz w:val="24"/>
          <w:szCs w:val="24"/>
          <w:lang w:eastAsia="en-US"/>
        </w:rPr>
        <w:t>Внутриплощадочные работы и система выдачи электрической энергии.</w:t>
      </w:r>
    </w:p>
    <w:p w:rsidR="00441BC3" w:rsidRPr="00A54F88" w:rsidRDefault="00441BC3" w:rsidP="00FB312A">
      <w:pPr>
        <w:pStyle w:val="ConsPlusNormal"/>
        <w:ind w:firstLine="567"/>
        <w:jc w:val="both"/>
      </w:pPr>
      <w:proofErr w:type="gramStart"/>
      <w:r w:rsidRPr="00A54F88">
        <w:t>б</w:t>
      </w:r>
      <w:proofErr w:type="gramEnd"/>
      <w:r w:rsidRPr="00A54F88">
        <w:t>) планируемые цели, задачи, этапы, сроки и конкретные результаты реализации инвестиционного проекта;</w:t>
      </w:r>
    </w:p>
    <w:p w:rsidR="00C94628" w:rsidRDefault="00441BC3" w:rsidP="00FB312A">
      <w:pPr>
        <w:pStyle w:val="a3"/>
        <w:numPr>
          <w:ilvl w:val="0"/>
          <w:numId w:val="2"/>
        </w:numPr>
        <w:ind w:left="851" w:right="20"/>
        <w:rPr>
          <w:szCs w:val="24"/>
        </w:rPr>
      </w:pPr>
      <w:r w:rsidRPr="00C94628">
        <w:rPr>
          <w:szCs w:val="24"/>
        </w:rPr>
        <w:t>Присоединение перспективной нагрузки к системе электроснабжения.</w:t>
      </w:r>
    </w:p>
    <w:p w:rsidR="00C94628" w:rsidRPr="00C94628" w:rsidRDefault="00441BC3" w:rsidP="00FB312A">
      <w:pPr>
        <w:pStyle w:val="a3"/>
        <w:numPr>
          <w:ilvl w:val="0"/>
          <w:numId w:val="2"/>
        </w:numPr>
        <w:ind w:left="851" w:right="20"/>
        <w:rPr>
          <w:rFonts w:eastAsiaTheme="minorHAnsi"/>
          <w:szCs w:val="24"/>
          <w:lang w:eastAsia="en-US"/>
        </w:rPr>
      </w:pPr>
      <w:r w:rsidRPr="00C94628">
        <w:rPr>
          <w:szCs w:val="24"/>
        </w:rPr>
        <w:t>Резервирование и повышение надежности электроснабжения.</w:t>
      </w:r>
    </w:p>
    <w:p w:rsidR="00BD19EF" w:rsidRDefault="00441BC3" w:rsidP="00FB312A">
      <w:pPr>
        <w:pStyle w:val="a3"/>
        <w:numPr>
          <w:ilvl w:val="0"/>
          <w:numId w:val="2"/>
        </w:numPr>
        <w:ind w:left="851" w:right="20"/>
        <w:rPr>
          <w:rFonts w:eastAsiaTheme="minorHAnsi"/>
          <w:szCs w:val="24"/>
          <w:lang w:eastAsia="en-US"/>
        </w:rPr>
      </w:pPr>
      <w:r w:rsidRPr="00BD19EF">
        <w:rPr>
          <w:szCs w:val="24"/>
        </w:rPr>
        <w:t>Увеличение мощности объектов, используемых в сфере электроснабжения</w:t>
      </w:r>
      <w:r w:rsidRPr="00BD19EF">
        <w:rPr>
          <w:rFonts w:eastAsiaTheme="minorHAnsi"/>
          <w:szCs w:val="24"/>
          <w:lang w:eastAsia="en-US"/>
        </w:rPr>
        <w:t xml:space="preserve"> </w:t>
      </w:r>
    </w:p>
    <w:p w:rsidR="00302D1C" w:rsidRPr="00BD19EF" w:rsidRDefault="00302D1C" w:rsidP="00FB312A">
      <w:pPr>
        <w:pStyle w:val="a3"/>
        <w:numPr>
          <w:ilvl w:val="0"/>
          <w:numId w:val="2"/>
        </w:numPr>
        <w:ind w:left="851" w:right="20"/>
        <w:rPr>
          <w:rFonts w:eastAsiaTheme="minorHAnsi"/>
          <w:szCs w:val="24"/>
          <w:lang w:eastAsia="en-US"/>
        </w:rPr>
      </w:pPr>
      <w:r w:rsidRPr="00A54F88">
        <w:t>Срок</w:t>
      </w:r>
      <w:r>
        <w:t xml:space="preserve"> реализации </w:t>
      </w:r>
      <w:r w:rsidR="00FB312A">
        <w:t>–</w:t>
      </w:r>
      <w:r w:rsidR="00C16A9F">
        <w:t xml:space="preserve"> </w:t>
      </w:r>
      <w:r w:rsidR="00BD19EF">
        <w:t>201</w:t>
      </w:r>
      <w:r w:rsidR="00080A3F">
        <w:t>6</w:t>
      </w:r>
      <w:r w:rsidR="00034124">
        <w:t>-20</w:t>
      </w:r>
      <w:r w:rsidR="009B2681">
        <w:t>19</w:t>
      </w:r>
      <w:r>
        <w:t>г.</w:t>
      </w:r>
    </w:p>
    <w:p w:rsidR="00BD19EF" w:rsidRPr="00BD19EF" w:rsidRDefault="00302D1C" w:rsidP="00BD19EF">
      <w:pPr>
        <w:pStyle w:val="a3"/>
        <w:numPr>
          <w:ilvl w:val="0"/>
          <w:numId w:val="2"/>
        </w:numPr>
        <w:ind w:left="851" w:right="20"/>
        <w:rPr>
          <w:rFonts w:eastAsiaTheme="minorHAnsi"/>
          <w:lang w:eastAsia="en-US"/>
        </w:rPr>
      </w:pPr>
      <w:r w:rsidRPr="00A54F88">
        <w:t>результаты реализации</w:t>
      </w:r>
      <w:r w:rsidR="00C16A9F">
        <w:t xml:space="preserve"> – </w:t>
      </w:r>
      <w:r w:rsidR="00BD19EF">
        <w:t xml:space="preserve">бесперебойное </w:t>
      </w:r>
      <w:r w:rsidR="00C16A9F" w:rsidRPr="00C16A9F">
        <w:rPr>
          <w:rFonts w:eastAsiaTheme="minorHAnsi"/>
          <w:szCs w:val="24"/>
          <w:lang w:eastAsia="en-US"/>
        </w:rPr>
        <w:t>электроснабжени</w:t>
      </w:r>
      <w:r w:rsidR="00C16A9F">
        <w:rPr>
          <w:rFonts w:eastAsiaTheme="minorHAnsi"/>
          <w:szCs w:val="24"/>
          <w:lang w:eastAsia="en-US"/>
        </w:rPr>
        <w:t xml:space="preserve">е </w:t>
      </w:r>
    </w:p>
    <w:p w:rsidR="00BD19EF" w:rsidRPr="00BD19EF" w:rsidRDefault="00BD19EF" w:rsidP="00BD19EF">
      <w:pPr>
        <w:pStyle w:val="a3"/>
        <w:ind w:left="851" w:right="20"/>
        <w:rPr>
          <w:rFonts w:eastAsiaTheme="minorHAnsi"/>
          <w:lang w:eastAsia="en-US"/>
        </w:rPr>
      </w:pPr>
    </w:p>
    <w:p w:rsidR="00445E36" w:rsidRPr="00445E36" w:rsidRDefault="00445E36" w:rsidP="00BD19EF">
      <w:pPr>
        <w:pStyle w:val="a3"/>
        <w:ind w:left="491" w:right="20"/>
        <w:rPr>
          <w:rFonts w:eastAsiaTheme="minorHAnsi"/>
          <w:lang w:eastAsia="en-US"/>
        </w:rPr>
      </w:pPr>
      <w:r w:rsidRPr="00445E36">
        <w:rPr>
          <w:rFonts w:eastAsiaTheme="minorHAnsi"/>
          <w:lang w:eastAsia="en-US"/>
        </w:rPr>
        <w:t>в) показатели инвестиционного проекта, в том числе показатели энергетической эффективности;</w:t>
      </w:r>
    </w:p>
    <w:p w:rsidR="00303D91" w:rsidRDefault="00445E36" w:rsidP="00BD19EF">
      <w:pPr>
        <w:pStyle w:val="a3"/>
        <w:ind w:right="20" w:firstLine="567"/>
        <w:rPr>
          <w:color w:val="000000"/>
        </w:rPr>
      </w:pPr>
      <w:r w:rsidRPr="00340FBC">
        <w:rPr>
          <w:color w:val="000000"/>
        </w:rPr>
        <w:t xml:space="preserve">Обеспечение доступности услуг электроснабжения для потребителей, обеспечение надежности и резервирования электрических сетей </w:t>
      </w:r>
    </w:p>
    <w:p w:rsidR="00BD19EF" w:rsidRDefault="00BD19EF" w:rsidP="00BD19EF">
      <w:pPr>
        <w:pStyle w:val="a3"/>
        <w:ind w:right="20" w:firstLine="567"/>
        <w:rPr>
          <w:color w:val="000000"/>
        </w:rPr>
      </w:pPr>
    </w:p>
    <w:p w:rsidR="00BD19EF" w:rsidRDefault="00303D91" w:rsidP="00BD19EF">
      <w:pPr>
        <w:pStyle w:val="ConsPlusNormal"/>
        <w:ind w:firstLine="540"/>
        <w:jc w:val="both"/>
      </w:pPr>
      <w:proofErr w:type="gramStart"/>
      <w:r w:rsidRPr="00E500BE">
        <w:t>г</w:t>
      </w:r>
      <w:proofErr w:type="gramEnd"/>
      <w:r w:rsidRPr="00E500BE">
        <w:t>) оценка влияния инвестиционного проекта на достижение плановых значений количественных показателей реализации инвестиционной программы (пр</w:t>
      </w:r>
      <w:r w:rsidR="00034124">
        <w:t>оекта инвестиционной программы)</w:t>
      </w:r>
    </w:p>
    <w:p w:rsidR="00AA24CF" w:rsidRPr="00BD19EF" w:rsidRDefault="00AA24CF" w:rsidP="00BD19EF">
      <w:pPr>
        <w:pStyle w:val="ConsPlusNormal"/>
        <w:ind w:firstLine="540"/>
        <w:jc w:val="both"/>
      </w:pPr>
    </w:p>
    <w:p w:rsidR="00303D91" w:rsidRDefault="00AA24CF" w:rsidP="00AA24CF">
      <w:pPr>
        <w:pStyle w:val="ConsPlusNormal"/>
        <w:ind w:firstLine="567"/>
        <w:jc w:val="both"/>
      </w:pPr>
      <w:r>
        <w:t>Отсутствует</w:t>
      </w:r>
    </w:p>
    <w:p w:rsidR="00A72F14" w:rsidRDefault="00A72F14" w:rsidP="00AA24CF">
      <w:pPr>
        <w:pStyle w:val="ConsPlusNormal"/>
        <w:ind w:firstLine="567"/>
        <w:jc w:val="both"/>
      </w:pPr>
    </w:p>
    <w:p w:rsidR="00303D91" w:rsidRDefault="00C37D2D" w:rsidP="00743579">
      <w:pPr>
        <w:pStyle w:val="ConsPlusNormal"/>
        <w:ind w:firstLine="567"/>
        <w:jc w:val="both"/>
      </w:pPr>
      <w:proofErr w:type="gramStart"/>
      <w:r>
        <w:t>д</w:t>
      </w:r>
      <w:proofErr w:type="gramEnd"/>
      <w:r>
        <w:t>) график</w:t>
      </w:r>
      <w:r w:rsidR="00303D91" w:rsidRPr="00E500BE">
        <w:t xml:space="preserve">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w:t>
      </w:r>
      <w:r w:rsidR="00C07A59">
        <w:t>лизации инвестиционных проектов.</w:t>
      </w:r>
    </w:p>
    <w:p w:rsidR="009B2681" w:rsidRDefault="009B2681" w:rsidP="00743579">
      <w:pPr>
        <w:pStyle w:val="ConsPlusNormal"/>
        <w:ind w:firstLine="567"/>
        <w:jc w:val="both"/>
      </w:pPr>
    </w:p>
    <w:tbl>
      <w:tblPr>
        <w:tblW w:w="10185" w:type="dxa"/>
        <w:tblInd w:w="113" w:type="dxa"/>
        <w:tblLook w:val="04A0" w:firstRow="1" w:lastRow="0" w:firstColumn="1" w:lastColumn="0" w:noHBand="0" w:noVBand="1"/>
      </w:tblPr>
      <w:tblGrid>
        <w:gridCol w:w="3589"/>
        <w:gridCol w:w="1390"/>
        <w:gridCol w:w="1224"/>
        <w:gridCol w:w="1224"/>
        <w:gridCol w:w="1348"/>
        <w:gridCol w:w="1410"/>
      </w:tblGrid>
      <w:tr w:rsidR="009B2681" w:rsidRPr="009B2681" w:rsidTr="009B2681">
        <w:trPr>
          <w:trHeight w:val="298"/>
        </w:trPr>
        <w:tc>
          <w:tcPr>
            <w:tcW w:w="3589" w:type="dxa"/>
            <w:tcBorders>
              <w:top w:val="nil"/>
              <w:left w:val="nil"/>
              <w:bottom w:val="single" w:sz="4" w:space="0" w:color="C0C0C0"/>
              <w:right w:val="single" w:sz="4" w:space="0" w:color="FFFFFF"/>
            </w:tcBorders>
            <w:shd w:val="clear" w:color="000000" w:fill="000080"/>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Наименование</w:t>
            </w:r>
          </w:p>
        </w:tc>
        <w:tc>
          <w:tcPr>
            <w:tcW w:w="1390" w:type="dxa"/>
            <w:tcBorders>
              <w:top w:val="nil"/>
              <w:left w:val="nil"/>
              <w:bottom w:val="single" w:sz="4" w:space="0" w:color="C0C0C0"/>
              <w:right w:val="single" w:sz="4" w:space="0" w:color="FFFFFF"/>
            </w:tcBorders>
            <w:shd w:val="clear" w:color="000000" w:fill="000080"/>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ВСЕГО</w:t>
            </w:r>
          </w:p>
        </w:tc>
        <w:tc>
          <w:tcPr>
            <w:tcW w:w="1224" w:type="dxa"/>
            <w:tcBorders>
              <w:top w:val="nil"/>
              <w:left w:val="nil"/>
              <w:bottom w:val="single" w:sz="4" w:space="0" w:color="C0C0C0"/>
              <w:right w:val="single" w:sz="4" w:space="0" w:color="FFFFFF"/>
            </w:tcBorders>
            <w:shd w:val="clear" w:color="000000" w:fill="000080"/>
            <w:noWrap/>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2016</w:t>
            </w:r>
          </w:p>
        </w:tc>
        <w:tc>
          <w:tcPr>
            <w:tcW w:w="1224" w:type="dxa"/>
            <w:tcBorders>
              <w:top w:val="nil"/>
              <w:left w:val="nil"/>
              <w:bottom w:val="single" w:sz="4" w:space="0" w:color="C0C0C0"/>
              <w:right w:val="single" w:sz="4" w:space="0" w:color="FFFFFF"/>
            </w:tcBorders>
            <w:shd w:val="clear" w:color="000000" w:fill="000080"/>
            <w:noWrap/>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2017</w:t>
            </w:r>
          </w:p>
        </w:tc>
        <w:tc>
          <w:tcPr>
            <w:tcW w:w="1348" w:type="dxa"/>
            <w:tcBorders>
              <w:top w:val="nil"/>
              <w:left w:val="nil"/>
              <w:bottom w:val="single" w:sz="4" w:space="0" w:color="C0C0C0"/>
              <w:right w:val="single" w:sz="4" w:space="0" w:color="FFFFFF"/>
            </w:tcBorders>
            <w:shd w:val="clear" w:color="000000" w:fill="000080"/>
            <w:noWrap/>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2018</w:t>
            </w:r>
          </w:p>
        </w:tc>
        <w:tc>
          <w:tcPr>
            <w:tcW w:w="1410" w:type="dxa"/>
            <w:tcBorders>
              <w:top w:val="nil"/>
              <w:left w:val="nil"/>
              <w:bottom w:val="single" w:sz="4" w:space="0" w:color="C0C0C0"/>
              <w:right w:val="single" w:sz="4" w:space="0" w:color="FFFFFF"/>
            </w:tcBorders>
            <w:shd w:val="clear" w:color="000000" w:fill="000080"/>
            <w:noWrap/>
            <w:vAlign w:val="center"/>
            <w:hideMark/>
          </w:tcPr>
          <w:p w:rsidR="009B2681" w:rsidRPr="009B2681" w:rsidRDefault="009B2681" w:rsidP="009B2681">
            <w:pPr>
              <w:widowControl/>
              <w:autoSpaceDE/>
              <w:autoSpaceDN/>
              <w:adjustRightInd/>
              <w:jc w:val="center"/>
              <w:rPr>
                <w:rFonts w:ascii="Times New Roman" w:hAnsi="Times New Roman" w:cs="Times New Roman"/>
                <w:color w:val="FFFFFF"/>
              </w:rPr>
            </w:pPr>
            <w:r w:rsidRPr="009B2681">
              <w:rPr>
                <w:rFonts w:ascii="Times New Roman" w:hAnsi="Times New Roman" w:cs="Times New Roman"/>
                <w:color w:val="FFFFFF"/>
              </w:rPr>
              <w:t>2019</w:t>
            </w:r>
          </w:p>
        </w:tc>
      </w:tr>
      <w:tr w:rsidR="009B2681" w:rsidRPr="009B2681" w:rsidTr="009B2681">
        <w:trPr>
          <w:trHeight w:val="954"/>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681" w:rsidRPr="009B2681" w:rsidRDefault="009B2681" w:rsidP="009B2681">
            <w:pPr>
              <w:widowControl/>
              <w:autoSpaceDE/>
              <w:autoSpaceDN/>
              <w:adjustRightInd/>
              <w:rPr>
                <w:rFonts w:ascii="Times New Roman" w:hAnsi="Times New Roman" w:cs="Times New Roman"/>
                <w:b/>
                <w:bCs/>
              </w:rPr>
            </w:pPr>
            <w:r w:rsidRPr="009B2681">
              <w:rPr>
                <w:rFonts w:ascii="Times New Roman" w:hAnsi="Times New Roman" w:cs="Times New Roman"/>
                <w:b/>
                <w:bCs/>
              </w:rPr>
              <w:t xml:space="preserve">Строительство ГПА-ТЭЦ в МО </w:t>
            </w:r>
            <w:proofErr w:type="spellStart"/>
            <w:r w:rsidRPr="009B2681">
              <w:rPr>
                <w:rFonts w:ascii="Times New Roman" w:hAnsi="Times New Roman" w:cs="Times New Roman"/>
                <w:b/>
                <w:bCs/>
              </w:rPr>
              <w:t>Красноселькупский</w:t>
            </w:r>
            <w:proofErr w:type="spellEnd"/>
            <w:r w:rsidRPr="009B2681">
              <w:rPr>
                <w:rFonts w:ascii="Times New Roman" w:hAnsi="Times New Roman" w:cs="Times New Roman"/>
                <w:b/>
                <w:bCs/>
              </w:rPr>
              <w:t xml:space="preserve"> район с. </w:t>
            </w:r>
            <w:proofErr w:type="spellStart"/>
            <w:r w:rsidRPr="009B2681">
              <w:rPr>
                <w:rFonts w:ascii="Times New Roman" w:hAnsi="Times New Roman" w:cs="Times New Roman"/>
                <w:b/>
                <w:bCs/>
              </w:rPr>
              <w:t>Красноселькуп</w:t>
            </w:r>
            <w:proofErr w:type="spellEnd"/>
            <w:r w:rsidRPr="009B2681">
              <w:rPr>
                <w:rFonts w:ascii="Times New Roman" w:hAnsi="Times New Roman" w:cs="Times New Roman"/>
                <w:b/>
                <w:bCs/>
              </w:rPr>
              <w:t xml:space="preserve"> мощностью 10,5 МВт</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545 602,63</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 </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140 000,00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140 000,00</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265 602,63</w:t>
            </w:r>
          </w:p>
        </w:tc>
      </w:tr>
      <w:tr w:rsidR="009B2681" w:rsidRPr="009B2681" w:rsidTr="009B2681">
        <w:trPr>
          <w:trHeight w:val="835"/>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9B2681" w:rsidRPr="009B2681" w:rsidRDefault="009B2681" w:rsidP="009B2681">
            <w:pPr>
              <w:widowControl/>
              <w:autoSpaceDE/>
              <w:autoSpaceDN/>
              <w:adjustRightInd/>
              <w:rPr>
                <w:rFonts w:ascii="Times New Roman" w:hAnsi="Times New Roman" w:cs="Times New Roman"/>
                <w:b/>
                <w:bCs/>
              </w:rPr>
            </w:pPr>
            <w:r w:rsidRPr="009B2681">
              <w:rPr>
                <w:rFonts w:ascii="Times New Roman" w:hAnsi="Times New Roman" w:cs="Times New Roman"/>
                <w:b/>
                <w:bCs/>
              </w:rPr>
              <w:t>Внутриплощадочные работы и система выдачи электрической энергии</w:t>
            </w:r>
          </w:p>
        </w:tc>
        <w:tc>
          <w:tcPr>
            <w:tcW w:w="1390" w:type="dxa"/>
            <w:tcBorders>
              <w:top w:val="nil"/>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101 695,00</w:t>
            </w:r>
          </w:p>
        </w:tc>
        <w:tc>
          <w:tcPr>
            <w:tcW w:w="1224" w:type="dxa"/>
            <w:tcBorders>
              <w:top w:val="nil"/>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 </w:t>
            </w:r>
          </w:p>
        </w:tc>
        <w:tc>
          <w:tcPr>
            <w:tcW w:w="1224" w:type="dxa"/>
            <w:tcBorders>
              <w:top w:val="nil"/>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 </w:t>
            </w:r>
          </w:p>
        </w:tc>
        <w:tc>
          <w:tcPr>
            <w:tcW w:w="1348" w:type="dxa"/>
            <w:tcBorders>
              <w:top w:val="nil"/>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 </w:t>
            </w:r>
          </w:p>
        </w:tc>
        <w:tc>
          <w:tcPr>
            <w:tcW w:w="1410" w:type="dxa"/>
            <w:tcBorders>
              <w:top w:val="nil"/>
              <w:left w:val="nil"/>
              <w:bottom w:val="single" w:sz="4" w:space="0" w:color="auto"/>
              <w:right w:val="single" w:sz="4" w:space="0" w:color="auto"/>
            </w:tcBorders>
            <w:shd w:val="clear" w:color="auto" w:fill="auto"/>
            <w:noWrap/>
            <w:vAlign w:val="center"/>
            <w:hideMark/>
          </w:tcPr>
          <w:p w:rsidR="009B2681" w:rsidRPr="009B2681" w:rsidRDefault="009B2681" w:rsidP="009B2681">
            <w:pPr>
              <w:widowControl/>
              <w:autoSpaceDE/>
              <w:autoSpaceDN/>
              <w:adjustRightInd/>
              <w:jc w:val="center"/>
              <w:rPr>
                <w:rFonts w:ascii="Times New Roman" w:hAnsi="Times New Roman" w:cs="Times New Roman"/>
              </w:rPr>
            </w:pPr>
            <w:r w:rsidRPr="009B2681">
              <w:rPr>
                <w:rFonts w:ascii="Times New Roman" w:hAnsi="Times New Roman" w:cs="Times New Roman"/>
              </w:rPr>
              <w:t>101 695,00</w:t>
            </w:r>
          </w:p>
        </w:tc>
      </w:tr>
      <w:tr w:rsidR="009B2681" w:rsidRPr="009B2681" w:rsidTr="009B2681">
        <w:trPr>
          <w:trHeight w:val="298"/>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9B2681" w:rsidRPr="009B2681" w:rsidRDefault="009B2681" w:rsidP="009B2681">
            <w:pPr>
              <w:widowControl/>
              <w:autoSpaceDE/>
              <w:autoSpaceDN/>
              <w:adjustRightInd/>
              <w:rPr>
                <w:rFonts w:ascii="Times New Roman" w:hAnsi="Times New Roman" w:cs="Times New Roman"/>
                <w:b/>
                <w:bCs/>
                <w:sz w:val="22"/>
                <w:szCs w:val="22"/>
              </w:rPr>
            </w:pPr>
            <w:r w:rsidRPr="009B2681">
              <w:rPr>
                <w:rFonts w:ascii="Times New Roman" w:hAnsi="Times New Roman" w:cs="Times New Roman"/>
                <w:b/>
                <w:bCs/>
                <w:sz w:val="22"/>
                <w:szCs w:val="22"/>
              </w:rPr>
              <w:t>Всего</w:t>
            </w:r>
          </w:p>
        </w:tc>
        <w:tc>
          <w:tcPr>
            <w:tcW w:w="1390" w:type="dxa"/>
            <w:tcBorders>
              <w:top w:val="nil"/>
              <w:left w:val="nil"/>
              <w:bottom w:val="single" w:sz="4" w:space="0" w:color="auto"/>
              <w:right w:val="single" w:sz="4" w:space="0" w:color="auto"/>
            </w:tcBorders>
            <w:shd w:val="clear" w:color="auto" w:fill="auto"/>
            <w:noWrap/>
            <w:vAlign w:val="bottom"/>
            <w:hideMark/>
          </w:tcPr>
          <w:p w:rsidR="009B2681" w:rsidRPr="009B2681" w:rsidRDefault="009B2681" w:rsidP="009B2681">
            <w:pPr>
              <w:widowControl/>
              <w:autoSpaceDE/>
              <w:autoSpaceDN/>
              <w:adjustRightInd/>
              <w:jc w:val="center"/>
              <w:rPr>
                <w:rFonts w:ascii="Times New Roman" w:hAnsi="Times New Roman" w:cs="Times New Roman"/>
                <w:b/>
                <w:bCs/>
                <w:sz w:val="22"/>
                <w:szCs w:val="22"/>
              </w:rPr>
            </w:pPr>
            <w:r w:rsidRPr="009B2681">
              <w:rPr>
                <w:rFonts w:ascii="Times New Roman" w:hAnsi="Times New Roman" w:cs="Times New Roman"/>
                <w:b/>
                <w:bCs/>
                <w:sz w:val="22"/>
                <w:szCs w:val="22"/>
              </w:rPr>
              <w:t>647 297,63</w:t>
            </w:r>
          </w:p>
        </w:tc>
        <w:tc>
          <w:tcPr>
            <w:tcW w:w="1224" w:type="dxa"/>
            <w:tcBorders>
              <w:top w:val="nil"/>
              <w:left w:val="nil"/>
              <w:bottom w:val="single" w:sz="4" w:space="0" w:color="auto"/>
              <w:right w:val="single" w:sz="4" w:space="0" w:color="auto"/>
            </w:tcBorders>
            <w:shd w:val="clear" w:color="auto" w:fill="auto"/>
            <w:noWrap/>
            <w:vAlign w:val="bottom"/>
            <w:hideMark/>
          </w:tcPr>
          <w:p w:rsidR="009B2681" w:rsidRPr="009B2681" w:rsidRDefault="009B2681" w:rsidP="009B2681">
            <w:pPr>
              <w:widowControl/>
              <w:autoSpaceDE/>
              <w:autoSpaceDN/>
              <w:adjustRightInd/>
              <w:jc w:val="center"/>
              <w:rPr>
                <w:rFonts w:ascii="Times New Roman" w:hAnsi="Times New Roman" w:cs="Times New Roman"/>
                <w:b/>
                <w:bCs/>
                <w:sz w:val="22"/>
                <w:szCs w:val="22"/>
              </w:rPr>
            </w:pPr>
            <w:r w:rsidRPr="009B2681">
              <w:rPr>
                <w:rFonts w:ascii="Times New Roman" w:hAnsi="Times New Roman" w:cs="Times New Roman"/>
                <w:b/>
                <w:bCs/>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rsidR="009B2681" w:rsidRPr="009B2681" w:rsidRDefault="009B2681" w:rsidP="009B2681">
            <w:pPr>
              <w:widowControl/>
              <w:autoSpaceDE/>
              <w:autoSpaceDN/>
              <w:adjustRightInd/>
              <w:jc w:val="center"/>
              <w:rPr>
                <w:rFonts w:ascii="Times New Roman" w:hAnsi="Times New Roman" w:cs="Times New Roman"/>
                <w:b/>
                <w:bCs/>
                <w:sz w:val="22"/>
                <w:szCs w:val="22"/>
              </w:rPr>
            </w:pPr>
            <w:r w:rsidRPr="009B2681">
              <w:rPr>
                <w:rFonts w:ascii="Times New Roman" w:hAnsi="Times New Roman" w:cs="Times New Roman"/>
                <w:b/>
                <w:bCs/>
                <w:sz w:val="22"/>
                <w:szCs w:val="22"/>
              </w:rPr>
              <w:t>140 000,00</w:t>
            </w:r>
          </w:p>
        </w:tc>
        <w:tc>
          <w:tcPr>
            <w:tcW w:w="1348" w:type="dxa"/>
            <w:tcBorders>
              <w:top w:val="nil"/>
              <w:left w:val="nil"/>
              <w:bottom w:val="single" w:sz="4" w:space="0" w:color="auto"/>
              <w:right w:val="single" w:sz="4" w:space="0" w:color="auto"/>
            </w:tcBorders>
            <w:shd w:val="clear" w:color="auto" w:fill="auto"/>
            <w:noWrap/>
            <w:vAlign w:val="bottom"/>
            <w:hideMark/>
          </w:tcPr>
          <w:p w:rsidR="009B2681" w:rsidRPr="009B2681" w:rsidRDefault="009B2681" w:rsidP="009B2681">
            <w:pPr>
              <w:widowControl/>
              <w:autoSpaceDE/>
              <w:autoSpaceDN/>
              <w:adjustRightInd/>
              <w:jc w:val="center"/>
              <w:rPr>
                <w:rFonts w:ascii="Times New Roman" w:hAnsi="Times New Roman" w:cs="Times New Roman"/>
                <w:b/>
                <w:bCs/>
                <w:sz w:val="22"/>
                <w:szCs w:val="22"/>
              </w:rPr>
            </w:pPr>
            <w:r w:rsidRPr="009B2681">
              <w:rPr>
                <w:rFonts w:ascii="Times New Roman" w:hAnsi="Times New Roman" w:cs="Times New Roman"/>
                <w:b/>
                <w:bCs/>
                <w:sz w:val="22"/>
                <w:szCs w:val="22"/>
              </w:rPr>
              <w:t>140 000,00</w:t>
            </w:r>
          </w:p>
        </w:tc>
        <w:tc>
          <w:tcPr>
            <w:tcW w:w="1410" w:type="dxa"/>
            <w:tcBorders>
              <w:top w:val="nil"/>
              <w:left w:val="nil"/>
              <w:bottom w:val="single" w:sz="4" w:space="0" w:color="auto"/>
              <w:right w:val="single" w:sz="4" w:space="0" w:color="auto"/>
            </w:tcBorders>
            <w:shd w:val="clear" w:color="auto" w:fill="auto"/>
            <w:noWrap/>
            <w:vAlign w:val="bottom"/>
            <w:hideMark/>
          </w:tcPr>
          <w:p w:rsidR="009B2681" w:rsidRPr="009B2681" w:rsidRDefault="009B2681" w:rsidP="009B2681">
            <w:pPr>
              <w:widowControl/>
              <w:autoSpaceDE/>
              <w:autoSpaceDN/>
              <w:adjustRightInd/>
              <w:jc w:val="center"/>
              <w:rPr>
                <w:rFonts w:ascii="Times New Roman" w:hAnsi="Times New Roman" w:cs="Times New Roman"/>
                <w:b/>
                <w:bCs/>
                <w:sz w:val="22"/>
                <w:szCs w:val="22"/>
              </w:rPr>
            </w:pPr>
            <w:r w:rsidRPr="009B2681">
              <w:rPr>
                <w:rFonts w:ascii="Times New Roman" w:hAnsi="Times New Roman" w:cs="Times New Roman"/>
                <w:b/>
                <w:bCs/>
                <w:sz w:val="22"/>
                <w:szCs w:val="22"/>
              </w:rPr>
              <w:t>367 297,63</w:t>
            </w:r>
          </w:p>
        </w:tc>
      </w:tr>
    </w:tbl>
    <w:p w:rsidR="00105A99" w:rsidRDefault="00105A99" w:rsidP="00743579">
      <w:pPr>
        <w:pStyle w:val="ConsPlusNormal"/>
        <w:ind w:firstLine="567"/>
        <w:jc w:val="both"/>
      </w:pPr>
    </w:p>
    <w:p w:rsidR="00092FF2" w:rsidRDefault="00092FF2" w:rsidP="00CD0E6E">
      <w:pPr>
        <w:pStyle w:val="ConsPlusNormal"/>
        <w:ind w:firstLine="567"/>
        <w:jc w:val="both"/>
      </w:pPr>
      <w:proofErr w:type="gramStart"/>
      <w:r w:rsidRPr="00092FF2">
        <w:t>е</w:t>
      </w:r>
      <w:proofErr w:type="gramEnd"/>
      <w:r w:rsidRPr="00092FF2">
        <w:t>)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AA24CF" w:rsidRDefault="00AA24CF" w:rsidP="00CD0E6E">
      <w:pPr>
        <w:pStyle w:val="ConsPlusNormal"/>
        <w:ind w:firstLine="567"/>
        <w:jc w:val="both"/>
      </w:pPr>
    </w:p>
    <w:p w:rsidR="00092FF2" w:rsidRDefault="00AA24CF" w:rsidP="00C07A59">
      <w:pPr>
        <w:pStyle w:val="ConsPlusNormal"/>
        <w:ind w:firstLine="540"/>
        <w:jc w:val="both"/>
      </w:pPr>
      <w:r>
        <w:t>Отсутствует</w:t>
      </w:r>
    </w:p>
    <w:p w:rsidR="00C07A59" w:rsidRDefault="00C07A59" w:rsidP="00FB312A">
      <w:pPr>
        <w:pStyle w:val="ConsPlusNormal"/>
        <w:ind w:firstLine="567"/>
        <w:jc w:val="both"/>
      </w:pPr>
      <w:r w:rsidRPr="00E500BE">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w:t>
      </w:r>
      <w:r w:rsidRPr="00E500BE">
        <w:lastRenderedPageBreak/>
        <w:t>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C07A59" w:rsidRDefault="00C07A59" w:rsidP="00E36920">
      <w:pPr>
        <w:pStyle w:val="Default"/>
        <w:ind w:firstLine="426"/>
        <w:rPr>
          <w:rFonts w:ascii="Times New Roman" w:eastAsiaTheme="minorHAnsi" w:hAnsi="Times New Roman"/>
          <w:color w:val="auto"/>
          <w:lang w:eastAsia="en-US"/>
        </w:rPr>
      </w:pPr>
    </w:p>
    <w:p w:rsidR="009F0A8E" w:rsidRPr="00B63F65" w:rsidRDefault="00B63F65" w:rsidP="00E36920">
      <w:pPr>
        <w:pStyle w:val="Default"/>
        <w:ind w:firstLine="426"/>
        <w:rPr>
          <w:rFonts w:ascii="Times New Roman" w:eastAsiaTheme="minorHAnsi" w:hAnsi="Times New Roman"/>
          <w:color w:val="auto"/>
          <w:lang w:eastAsia="en-US"/>
        </w:rPr>
      </w:pPr>
      <w:r w:rsidRPr="00B63F65">
        <w:rPr>
          <w:rFonts w:ascii="Times New Roman" w:eastAsiaTheme="minorHAnsi" w:hAnsi="Times New Roman"/>
          <w:color w:val="auto"/>
          <w:lang w:eastAsia="en-US"/>
        </w:rPr>
        <w:t>Отсутствует</w:t>
      </w:r>
    </w:p>
    <w:p w:rsidR="009F0A8E" w:rsidRPr="00B63F65" w:rsidRDefault="009F0A8E" w:rsidP="00FB312A">
      <w:pPr>
        <w:pStyle w:val="ConsPlusNormal"/>
        <w:ind w:firstLine="567"/>
        <w:jc w:val="both"/>
      </w:pPr>
      <w:proofErr w:type="gramStart"/>
      <w:r w:rsidRPr="00B63F65">
        <w:t>з</w:t>
      </w:r>
      <w:proofErr w:type="gramEnd"/>
      <w:r w:rsidRPr="00B63F65">
        <w:t>)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AA24CF" w:rsidRDefault="00CA0394" w:rsidP="00B63F65">
      <w:pPr>
        <w:pStyle w:val="Default"/>
        <w:ind w:firstLine="426"/>
        <w:rPr>
          <w:rFonts w:ascii="Times New Roman" w:eastAsiaTheme="minorHAnsi" w:hAnsi="Times New Roman"/>
          <w:color w:val="auto"/>
          <w:lang w:eastAsia="en-US"/>
        </w:rPr>
      </w:pPr>
      <w:r w:rsidRPr="00B63F65">
        <w:rPr>
          <w:rFonts w:ascii="Times New Roman" w:eastAsiaTheme="minorHAnsi" w:hAnsi="Times New Roman"/>
          <w:color w:val="auto"/>
          <w:lang w:eastAsia="en-US"/>
        </w:rPr>
        <w:t xml:space="preserve"> </w:t>
      </w:r>
    </w:p>
    <w:p w:rsidR="009F0A8E" w:rsidRPr="00B63F65" w:rsidRDefault="00B63F65" w:rsidP="00B63F65">
      <w:pPr>
        <w:pStyle w:val="Default"/>
        <w:ind w:firstLine="426"/>
        <w:rPr>
          <w:rFonts w:ascii="Times New Roman" w:eastAsiaTheme="minorHAnsi" w:hAnsi="Times New Roman"/>
          <w:color w:val="auto"/>
          <w:lang w:eastAsia="en-US"/>
        </w:rPr>
      </w:pPr>
      <w:r w:rsidRPr="00B63F65">
        <w:rPr>
          <w:rFonts w:ascii="Times New Roman" w:eastAsiaTheme="minorHAnsi" w:hAnsi="Times New Roman"/>
          <w:color w:val="auto"/>
          <w:lang w:eastAsia="en-US"/>
        </w:rPr>
        <w:t xml:space="preserve">Отсутствует </w:t>
      </w:r>
    </w:p>
    <w:p w:rsidR="009F0A8E" w:rsidRPr="00AA24CF" w:rsidRDefault="009F0A8E" w:rsidP="00FB312A">
      <w:pPr>
        <w:pStyle w:val="ConsPlusNormal"/>
        <w:ind w:firstLine="567"/>
        <w:jc w:val="both"/>
      </w:pPr>
      <w:proofErr w:type="gramStart"/>
      <w:r w:rsidRPr="00B63F65">
        <w:t>и</w:t>
      </w:r>
      <w:proofErr w:type="gramEnd"/>
      <w:r w:rsidRPr="00B63F65">
        <w:t xml:space="preserve">) проектные показатели планируемой нагрузки трансформаторных и иных подстанций, </w:t>
      </w:r>
      <w:r w:rsidRPr="00AA24CF">
        <w:t>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AA24CF" w:rsidRDefault="00AA24CF" w:rsidP="00FB312A">
      <w:pPr>
        <w:pStyle w:val="Default"/>
        <w:ind w:firstLine="567"/>
        <w:rPr>
          <w:rFonts w:ascii="Times New Roman" w:eastAsiaTheme="minorHAnsi" w:hAnsi="Times New Roman"/>
          <w:color w:val="auto"/>
          <w:lang w:eastAsia="en-US"/>
        </w:rPr>
      </w:pPr>
    </w:p>
    <w:p w:rsidR="00034124" w:rsidRPr="00AA24CF" w:rsidRDefault="00AA24CF" w:rsidP="00FB312A">
      <w:pPr>
        <w:pStyle w:val="Default"/>
        <w:ind w:firstLine="567"/>
        <w:rPr>
          <w:rFonts w:ascii="Times New Roman" w:eastAsiaTheme="minorHAnsi" w:hAnsi="Times New Roman"/>
          <w:color w:val="auto"/>
          <w:lang w:eastAsia="en-US"/>
        </w:rPr>
      </w:pPr>
      <w:r w:rsidRPr="00AA24CF">
        <w:rPr>
          <w:rFonts w:ascii="Times New Roman" w:eastAsiaTheme="minorHAnsi" w:hAnsi="Times New Roman"/>
          <w:color w:val="auto"/>
          <w:lang w:eastAsia="en-US"/>
        </w:rPr>
        <w:t>Отсутствует</w:t>
      </w:r>
    </w:p>
    <w:p w:rsidR="009F0A8E" w:rsidRPr="00B63F65" w:rsidRDefault="009F0A8E" w:rsidP="00FB312A">
      <w:pPr>
        <w:pStyle w:val="ConsPlusNormal"/>
        <w:ind w:firstLine="567"/>
        <w:jc w:val="both"/>
      </w:pPr>
      <w:proofErr w:type="gramStart"/>
      <w:r w:rsidRPr="00B63F65">
        <w:t>к</w:t>
      </w:r>
      <w:proofErr w:type="gramEnd"/>
      <w:r w:rsidRPr="00B63F65">
        <w:t xml:space="preserve">) информация о степени загрузки вводимых после строительства объектов электросетевого хозяйства, определяемой в соответствии с </w:t>
      </w:r>
      <w:hyperlink r:id="rId6" w:history="1">
        <w:r w:rsidRPr="00B63F65">
          <w:rPr>
            <w:color w:val="0000FF"/>
          </w:rPr>
          <w:t>методическими указаниями</w:t>
        </w:r>
      </w:hyperlink>
      <w:r w:rsidRPr="00B63F65">
        <w:t>, утверждаемыми Министерством энергетики Российской Федерации;</w:t>
      </w:r>
    </w:p>
    <w:p w:rsidR="002A7807" w:rsidRPr="00B63F65" w:rsidRDefault="002A7807" w:rsidP="00FB312A">
      <w:pPr>
        <w:pStyle w:val="ConsPlusNormal"/>
        <w:ind w:firstLine="567"/>
        <w:jc w:val="both"/>
      </w:pPr>
    </w:p>
    <w:p w:rsidR="009F0A8E" w:rsidRPr="00B63F65" w:rsidRDefault="009F0A8E" w:rsidP="00FB312A">
      <w:pPr>
        <w:pStyle w:val="ConsPlusNormal"/>
        <w:ind w:firstLine="567"/>
        <w:jc w:val="both"/>
      </w:pPr>
      <w:r w:rsidRPr="00B63F65">
        <w:t xml:space="preserve">применяется при классе напряжения 35 </w:t>
      </w:r>
      <w:proofErr w:type="spellStart"/>
      <w:r w:rsidRPr="00B63F65">
        <w:t>кВ</w:t>
      </w:r>
      <w:proofErr w:type="spellEnd"/>
      <w:r w:rsidRPr="00B63F65">
        <w:t xml:space="preserve"> и выше </w:t>
      </w:r>
      <w:r w:rsidR="002A7807" w:rsidRPr="00B63F65">
        <w:t>для объектов электросетевого хозяйства, входящих в единую национальную (общероссийскую) электрическую сеть</w:t>
      </w:r>
      <w:r w:rsidRPr="00B63F65">
        <w:t>;</w:t>
      </w:r>
    </w:p>
    <w:p w:rsidR="009F0A8E" w:rsidRPr="00BD19EF" w:rsidRDefault="009F0A8E" w:rsidP="00FB312A">
      <w:pPr>
        <w:pStyle w:val="Default"/>
        <w:ind w:firstLine="567"/>
        <w:rPr>
          <w:rFonts w:ascii="Times New Roman" w:eastAsiaTheme="minorHAnsi" w:hAnsi="Times New Roman"/>
          <w:color w:val="auto"/>
          <w:highlight w:val="yellow"/>
          <w:lang w:eastAsia="en-US"/>
        </w:rPr>
      </w:pPr>
    </w:p>
    <w:p w:rsidR="009F0A8E" w:rsidRPr="00B63F65" w:rsidRDefault="009F0A8E" w:rsidP="00FB312A">
      <w:pPr>
        <w:pStyle w:val="ConsPlusNormal"/>
        <w:ind w:firstLine="567"/>
        <w:jc w:val="both"/>
      </w:pPr>
      <w:r w:rsidRPr="00B63F65">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F0A8E" w:rsidRPr="00B63F65" w:rsidRDefault="009F0A8E" w:rsidP="00FB312A">
      <w:pPr>
        <w:pStyle w:val="Default"/>
        <w:ind w:firstLine="567"/>
        <w:rPr>
          <w:rFonts w:ascii="Times New Roman" w:eastAsiaTheme="minorHAnsi" w:hAnsi="Times New Roman"/>
          <w:color w:val="auto"/>
          <w:lang w:eastAsia="en-US"/>
        </w:rPr>
      </w:pPr>
    </w:p>
    <w:p w:rsidR="002A7807" w:rsidRPr="00B63F65" w:rsidRDefault="000D28D3" w:rsidP="00FB312A">
      <w:pPr>
        <w:pStyle w:val="Default"/>
        <w:ind w:firstLine="567"/>
        <w:rPr>
          <w:rFonts w:ascii="Times New Roman" w:eastAsiaTheme="minorHAnsi" w:hAnsi="Times New Roman"/>
          <w:color w:val="auto"/>
          <w:lang w:eastAsia="en-US"/>
        </w:rPr>
      </w:pPr>
      <w:r w:rsidRPr="00B63F65">
        <w:rPr>
          <w:rFonts w:ascii="Times New Roman" w:eastAsiaTheme="minorHAnsi" w:hAnsi="Times New Roman"/>
          <w:color w:val="auto"/>
          <w:lang w:eastAsia="en-US"/>
        </w:rPr>
        <w:t>Отсутс</w:t>
      </w:r>
      <w:r w:rsidR="007B2A78" w:rsidRPr="00B63F65">
        <w:rPr>
          <w:rFonts w:ascii="Times New Roman" w:eastAsiaTheme="minorHAnsi" w:hAnsi="Times New Roman"/>
          <w:color w:val="auto"/>
          <w:lang w:eastAsia="en-US"/>
        </w:rPr>
        <w:t>твуе</w:t>
      </w:r>
      <w:r w:rsidRPr="00B63F65">
        <w:rPr>
          <w:rFonts w:ascii="Times New Roman" w:eastAsiaTheme="minorHAnsi" w:hAnsi="Times New Roman"/>
          <w:color w:val="auto"/>
          <w:lang w:eastAsia="en-US"/>
        </w:rPr>
        <w:t>т</w:t>
      </w:r>
      <w:r w:rsidR="00A72F14">
        <w:rPr>
          <w:rFonts w:ascii="Times New Roman" w:eastAsiaTheme="minorHAnsi" w:hAnsi="Times New Roman"/>
          <w:color w:val="auto"/>
          <w:lang w:eastAsia="en-US"/>
        </w:rPr>
        <w:t>.</w:t>
      </w:r>
    </w:p>
    <w:p w:rsidR="0050229D" w:rsidRPr="00B63F65" w:rsidRDefault="0050229D" w:rsidP="00FB312A">
      <w:pPr>
        <w:pStyle w:val="ConsPlusNormal"/>
        <w:ind w:firstLine="567"/>
        <w:jc w:val="both"/>
      </w:pPr>
      <w:proofErr w:type="gramStart"/>
      <w:r w:rsidRPr="00B63F65">
        <w:t>м</w:t>
      </w:r>
      <w:proofErr w:type="gramEnd"/>
      <w:r w:rsidRPr="00B63F65">
        <w:t>)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w:t>
      </w:r>
    </w:p>
    <w:p w:rsidR="00B63F65" w:rsidRDefault="00B63F65" w:rsidP="00FB312A">
      <w:pPr>
        <w:pStyle w:val="ConsPlusNormal"/>
        <w:ind w:firstLine="567"/>
        <w:jc w:val="both"/>
        <w:rPr>
          <w:highlight w:val="yellow"/>
        </w:rPr>
      </w:pPr>
    </w:p>
    <w:p w:rsidR="00A72F14" w:rsidRPr="00BD19EF" w:rsidRDefault="00A72F14" w:rsidP="00FB312A">
      <w:pPr>
        <w:pStyle w:val="ConsPlusNormal"/>
        <w:ind w:firstLine="567"/>
        <w:jc w:val="both"/>
        <w:rPr>
          <w:highlight w:val="yellow"/>
        </w:rPr>
      </w:pPr>
      <w:r w:rsidRPr="00B63F65">
        <w:t>Отсутствует</w:t>
      </w:r>
      <w:r>
        <w:t>.</w:t>
      </w:r>
    </w:p>
    <w:p w:rsidR="0050229D" w:rsidRDefault="00FB312A" w:rsidP="00FB312A">
      <w:pPr>
        <w:pStyle w:val="ConsPlusNormal"/>
        <w:ind w:firstLine="567"/>
        <w:jc w:val="both"/>
      </w:pPr>
      <w:proofErr w:type="gramStart"/>
      <w:r w:rsidRPr="00B63F65">
        <w:t>н</w:t>
      </w:r>
      <w:proofErr w:type="gramEnd"/>
      <w:r w:rsidR="0050229D" w:rsidRPr="00B63F65">
        <w:t>)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
    <w:p w:rsidR="00A72F14" w:rsidRDefault="00A72F14" w:rsidP="00FB312A">
      <w:pPr>
        <w:pStyle w:val="ConsPlusNormal"/>
        <w:ind w:firstLine="567"/>
        <w:jc w:val="both"/>
      </w:pPr>
    </w:p>
    <w:p w:rsidR="00A72F14" w:rsidRDefault="00A72F14" w:rsidP="00FB312A">
      <w:pPr>
        <w:pStyle w:val="ConsPlusNormal"/>
        <w:ind w:firstLine="567"/>
        <w:jc w:val="both"/>
      </w:pPr>
      <w:r>
        <w:t>Отсутствует.</w:t>
      </w:r>
    </w:p>
    <w:p w:rsidR="0050229D" w:rsidRDefault="0050229D" w:rsidP="00CD0E6E">
      <w:pPr>
        <w:pStyle w:val="ConsPlusNormal"/>
        <w:jc w:val="center"/>
      </w:pPr>
    </w:p>
    <w:p w:rsidR="0050229D" w:rsidRDefault="0050229D" w:rsidP="0050229D">
      <w:pPr>
        <w:pStyle w:val="ConsPlusNormal"/>
        <w:ind w:firstLine="540"/>
        <w:jc w:val="both"/>
      </w:pPr>
    </w:p>
    <w:p w:rsidR="00961E0B" w:rsidRDefault="00961E0B" w:rsidP="0050229D">
      <w:pPr>
        <w:pStyle w:val="ConsPlusNormal"/>
        <w:ind w:firstLine="540"/>
        <w:jc w:val="both"/>
      </w:pPr>
    </w:p>
    <w:p w:rsidR="00961E0B" w:rsidRDefault="00961E0B" w:rsidP="0050229D">
      <w:pPr>
        <w:pStyle w:val="ConsPlusNormal"/>
        <w:ind w:firstLine="540"/>
        <w:jc w:val="both"/>
      </w:pPr>
    </w:p>
    <w:sectPr w:rsidR="00961E0B" w:rsidSect="00FB312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E5418"/>
    <w:multiLevelType w:val="hybridMultilevel"/>
    <w:tmpl w:val="D71A9A6A"/>
    <w:lvl w:ilvl="0" w:tplc="E82A18B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76B7901"/>
    <w:multiLevelType w:val="hybridMultilevel"/>
    <w:tmpl w:val="F53CB4A0"/>
    <w:lvl w:ilvl="0" w:tplc="E82A18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431B68"/>
    <w:multiLevelType w:val="hybridMultilevel"/>
    <w:tmpl w:val="429A8596"/>
    <w:lvl w:ilvl="0" w:tplc="E82A18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5F50CD"/>
    <w:multiLevelType w:val="hybridMultilevel"/>
    <w:tmpl w:val="25721198"/>
    <w:lvl w:ilvl="0" w:tplc="E82A18B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C3"/>
    <w:rsid w:val="00034124"/>
    <w:rsid w:val="000343F3"/>
    <w:rsid w:val="00080A3F"/>
    <w:rsid w:val="000904D8"/>
    <w:rsid w:val="00092FF2"/>
    <w:rsid w:val="000D28D3"/>
    <w:rsid w:val="00105A99"/>
    <w:rsid w:val="002A7807"/>
    <w:rsid w:val="00302D1C"/>
    <w:rsid w:val="00303D91"/>
    <w:rsid w:val="003C5CB5"/>
    <w:rsid w:val="003F76BC"/>
    <w:rsid w:val="00441BC3"/>
    <w:rsid w:val="00445E36"/>
    <w:rsid w:val="00445EE7"/>
    <w:rsid w:val="0050229D"/>
    <w:rsid w:val="00587887"/>
    <w:rsid w:val="00743579"/>
    <w:rsid w:val="007B2A78"/>
    <w:rsid w:val="008E31E1"/>
    <w:rsid w:val="00961E0B"/>
    <w:rsid w:val="009B2681"/>
    <w:rsid w:val="009F0A8E"/>
    <w:rsid w:val="00A72F14"/>
    <w:rsid w:val="00AA24CF"/>
    <w:rsid w:val="00AF5B60"/>
    <w:rsid w:val="00B63F65"/>
    <w:rsid w:val="00BA48B9"/>
    <w:rsid w:val="00BD19EF"/>
    <w:rsid w:val="00C07A59"/>
    <w:rsid w:val="00C16A9F"/>
    <w:rsid w:val="00C37D2D"/>
    <w:rsid w:val="00C94628"/>
    <w:rsid w:val="00CA0394"/>
    <w:rsid w:val="00CD0E6E"/>
    <w:rsid w:val="00E36920"/>
    <w:rsid w:val="00FB312A"/>
    <w:rsid w:val="00FE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AE2D-0976-491B-AFF2-2CA03D41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Заголовок 1 Знак Знак,Заголовок 1 Знак Знак Знак"/>
    <w:basedOn w:val="a"/>
    <w:next w:val="a"/>
    <w:link w:val="10"/>
    <w:qFormat/>
    <w:rsid w:val="00441BC3"/>
    <w:pPr>
      <w:keepNext/>
      <w:widowControl/>
      <w:autoSpaceDE/>
      <w:autoSpaceDN/>
      <w:adjustRightInd/>
      <w:spacing w:line="360" w:lineRule="auto"/>
      <w:jc w:val="center"/>
      <w:outlineLvl w:val="0"/>
    </w:pPr>
    <w:rPr>
      <w:rFonts w:ascii="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BC3"/>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aliases w:val="Заголовок 1 Знак Знак Знак Знак Знак Знак,Заголовок 1 Знак Знак Знак1,Заголовок 1 Знак Знак Знак Знак"/>
    <w:basedOn w:val="a0"/>
    <w:link w:val="1"/>
    <w:rsid w:val="00441BC3"/>
    <w:rPr>
      <w:rFonts w:ascii="Times New Roman" w:eastAsia="Times New Roman" w:hAnsi="Times New Roman" w:cs="Times New Roman"/>
      <w:b/>
      <w:bCs/>
      <w:sz w:val="32"/>
      <w:szCs w:val="24"/>
      <w:lang w:eastAsia="ru-RU"/>
    </w:rPr>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4"/>
    <w:uiPriority w:val="99"/>
    <w:rsid w:val="00441BC3"/>
    <w:pPr>
      <w:widowControl/>
      <w:autoSpaceDE/>
      <w:autoSpaceDN/>
      <w:adjustRightInd/>
      <w:jc w:val="both"/>
    </w:pPr>
    <w:rPr>
      <w:rFonts w:ascii="Times New Roman" w:hAnsi="Times New Roman" w:cs="Times New Roman"/>
      <w:sz w:val="24"/>
    </w:rPr>
  </w:style>
  <w:style w:type="character" w:customStyle="1" w:styleId="a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99"/>
    <w:rsid w:val="00441BC3"/>
    <w:rPr>
      <w:rFonts w:ascii="Times New Roman" w:eastAsia="Times New Roman" w:hAnsi="Times New Roman" w:cs="Times New Roman"/>
      <w:sz w:val="24"/>
      <w:szCs w:val="20"/>
      <w:lang w:eastAsia="ru-RU"/>
    </w:rPr>
  </w:style>
  <w:style w:type="paragraph" w:customStyle="1" w:styleId="Default">
    <w:name w:val="Default"/>
    <w:uiPriority w:val="99"/>
    <w:rsid w:val="00302D1C"/>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paragraph" w:styleId="a5">
    <w:name w:val="Balloon Text"/>
    <w:basedOn w:val="a"/>
    <w:link w:val="a6"/>
    <w:uiPriority w:val="99"/>
    <w:semiHidden/>
    <w:unhideWhenUsed/>
    <w:rsid w:val="003C5CB5"/>
    <w:rPr>
      <w:rFonts w:ascii="Tahoma" w:hAnsi="Tahoma" w:cs="Tahoma"/>
      <w:sz w:val="16"/>
      <w:szCs w:val="16"/>
    </w:rPr>
  </w:style>
  <w:style w:type="character" w:customStyle="1" w:styleId="a6">
    <w:name w:val="Текст выноски Знак"/>
    <w:basedOn w:val="a0"/>
    <w:link w:val="a5"/>
    <w:uiPriority w:val="99"/>
    <w:semiHidden/>
    <w:rsid w:val="003C5CB5"/>
    <w:rPr>
      <w:rFonts w:ascii="Tahoma" w:eastAsia="Times New Roman" w:hAnsi="Tahoma" w:cs="Tahoma"/>
      <w:sz w:val="16"/>
      <w:szCs w:val="16"/>
      <w:lang w:eastAsia="ru-RU"/>
    </w:rPr>
  </w:style>
  <w:style w:type="character" w:customStyle="1" w:styleId="7">
    <w:name w:val="Основной текст (7)_"/>
    <w:link w:val="70"/>
    <w:rsid w:val="00034124"/>
    <w:rPr>
      <w:sz w:val="19"/>
      <w:szCs w:val="19"/>
      <w:shd w:val="clear" w:color="auto" w:fill="FFFFFF"/>
    </w:rPr>
  </w:style>
  <w:style w:type="character" w:customStyle="1" w:styleId="16">
    <w:name w:val="Основной текст (16)_"/>
    <w:link w:val="160"/>
    <w:rsid w:val="00034124"/>
    <w:rPr>
      <w:shd w:val="clear" w:color="auto" w:fill="FFFFFF"/>
    </w:rPr>
  </w:style>
  <w:style w:type="paragraph" w:customStyle="1" w:styleId="70">
    <w:name w:val="Основной текст (7)"/>
    <w:basedOn w:val="a"/>
    <w:link w:val="7"/>
    <w:rsid w:val="00034124"/>
    <w:pPr>
      <w:widowControl/>
      <w:shd w:val="clear" w:color="auto" w:fill="FFFFFF"/>
      <w:autoSpaceDE/>
      <w:autoSpaceDN/>
      <w:adjustRightInd/>
      <w:spacing w:line="0" w:lineRule="atLeast"/>
      <w:ind w:hanging="1880"/>
    </w:pPr>
    <w:rPr>
      <w:rFonts w:asciiTheme="minorHAnsi" w:eastAsiaTheme="minorHAnsi" w:hAnsiTheme="minorHAnsi" w:cstheme="minorBidi"/>
      <w:sz w:val="19"/>
      <w:szCs w:val="19"/>
      <w:lang w:eastAsia="en-US"/>
    </w:rPr>
  </w:style>
  <w:style w:type="paragraph" w:customStyle="1" w:styleId="160">
    <w:name w:val="Основной текст (16)"/>
    <w:basedOn w:val="a"/>
    <w:link w:val="16"/>
    <w:rsid w:val="00034124"/>
    <w:pPr>
      <w:widowControl/>
      <w:shd w:val="clear" w:color="auto" w:fill="FFFFFF"/>
      <w:autoSpaceDE/>
      <w:autoSpaceDN/>
      <w:adjustRightInd/>
      <w:spacing w:line="0" w:lineRule="atLeast"/>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30944">
      <w:bodyDiv w:val="1"/>
      <w:marLeft w:val="0"/>
      <w:marRight w:val="0"/>
      <w:marTop w:val="0"/>
      <w:marBottom w:val="0"/>
      <w:divBdr>
        <w:top w:val="none" w:sz="0" w:space="0" w:color="auto"/>
        <w:left w:val="none" w:sz="0" w:space="0" w:color="auto"/>
        <w:bottom w:val="none" w:sz="0" w:space="0" w:color="auto"/>
        <w:right w:val="none" w:sz="0" w:space="0" w:color="auto"/>
      </w:divBdr>
    </w:div>
    <w:div w:id="21093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4FAC3E8C7E28EE65476D1978D5B153A2FE5B6F53362CE157E15E81F9A9E71A8BF0F4D9FB4B514674CB2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361E-7408-4037-9FAF-98FC607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Ноженко Виктор Федорович</dc:creator>
  <cp:lastModifiedBy>Даянов Ильдар Мансурович</cp:lastModifiedBy>
  <cp:revision>13</cp:revision>
  <dcterms:created xsi:type="dcterms:W3CDTF">2016-06-15T10:33:00Z</dcterms:created>
  <dcterms:modified xsi:type="dcterms:W3CDTF">2017-02-25T07:17:00Z</dcterms:modified>
</cp:coreProperties>
</file>